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Protection policy against “ghostwriting” and “guest authorship”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31982421875" w:line="344.4335174560547" w:lineRule="auto"/>
        <w:ind w:left="0" w:right="0" w:firstLine="0.4800415039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Articles submitted to the Editorial Board of “</w:t>
      </w:r>
      <w:r w:rsidDel="00000000" w:rsidR="00000000" w:rsidRPr="00000000">
        <w:rPr>
          <w:rFonts w:ascii="Times New Roman" w:cs="Times New Roman" w:eastAsia="Times New Roman" w:hAnsi="Times New Roman"/>
          <w:sz w:val="24"/>
          <w:szCs w:val="24"/>
          <w:rtl w:val="0"/>
        </w:rPr>
        <w:t xml:space="preserve">NCA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must comply  with ghostwriting and guest authorship countermeasures. All detected cases of non-disclosure  of contribution of actual authors or cases where the list of authors includes persons whose  contribution to a given work is negligible will be reported on the official website of the journal.  In addition, we will notify the institution employing such Authors that they have engaged in such practices. In justified cases, the Editorial Board may request that the Author submit  a written statement regarding their contribution in accordance with the ghostwriting prevention  rules.</w:t>
      </w:r>
    </w:p>
    <w:sectPr>
      <w:pgSz w:h="16840" w:w="11900" w:orient="portrait"/>
      <w:pgMar w:bottom="11473.599853515625" w:top="1401.600341796875" w:left="1417.4409484863281" w:right="1358.020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